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40" w:before="200" w:line="240" w:lineRule="auto"/>
        <w:rPr>
          <w:rFonts w:ascii="Poppins" w:cs="Poppins" w:eastAsia="Poppins" w:hAnsi="Poppins"/>
          <w:b w:val="1"/>
          <w:bCs w:val="1"/>
          <w:color w:val="1e98ff"/>
          <w:sz w:val="46"/>
          <w:szCs w:val="46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e98ff"/>
          <w:sz w:val="46"/>
          <w:szCs w:val="46"/>
          <w:rtl w:val="0"/>
        </w:rPr>
        <w:t xml:space="preserve">Journey mapping worksheet</w:t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rPr>
          <w:rFonts w:ascii="Roboto" w:cs="Roboto" w:eastAsia="Roboto" w:hAnsi="Roboto"/>
          <w:i w:val="1"/>
          <w:iCs w:val="1"/>
          <w:color w:val="767676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4"/>
          <w:szCs w:val="24"/>
          <w:rtl w:val="0"/>
        </w:rPr>
        <w:t xml:space="preserve">The planning document before interviews begin — scope the journey, segments, questions, and logistics in one place.</w:t>
      </w:r>
    </w:p>
    <w:p w:rsidR="00000000" w:rsidDel="00000000" w:rsidP="00000000" w:rsidRDefault="00000000" w:rsidRPr="00000000" w14:paraId="00000003">
      <w:pPr>
        <w:widowControl w:val="0"/>
        <w:spacing w:after="720" w:before="200" w:line="360" w:lineRule="auto"/>
        <w:ind w:left="280" w:right="280" w:firstLine="0"/>
        <w:rPr>
          <w:rFonts w:ascii="Roboto" w:cs="Roboto" w:eastAsia="Roboto" w:hAnsi="Roboto"/>
          <w:color w:val="001b31"/>
          <w:shd w:fill="ecf7ff" w:val="clear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2426a"/>
          <w:shd w:fill="ecf7ff" w:val="clear"/>
          <w:rtl w:val="0"/>
        </w:rPr>
        <w:t xml:space="preserve">How to use this worksheet:</w:t>
      </w:r>
      <w:r w:rsidDel="00000000" w:rsidR="00000000" w:rsidRPr="00000000">
        <w:rPr>
          <w:rFonts w:ascii="Nova Mono" w:cs="Nova Mono" w:eastAsia="Nova Mono" w:hAnsi="Nova Mono"/>
          <w:color w:val="001b31"/>
          <w:shd w:fill="ecf7ff" w:val="clear"/>
          <w:rtl w:val="0"/>
        </w:rPr>
        <w:t xml:space="preserve"> Duplicate this doc for each journey study (File → Make a copy) and complete it before you recruit or interview. Once it’s filled in, it pairs directly with the Customer Journey Interview Guide.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widowControl w:val="0"/>
        <w:spacing w:after="220" w:before="0" w:line="240" w:lineRule="auto"/>
        <w:rPr>
          <w:rFonts w:ascii="Poppins" w:cs="Poppins" w:eastAsia="Poppins" w:hAnsi="Poppins"/>
          <w:b w:val="1"/>
          <w:bCs w:val="1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30"/>
          <w:szCs w:val="30"/>
          <w:rtl w:val="0"/>
        </w:rPr>
        <w:t xml:space="preserve">Study overview</w:t>
      </w:r>
    </w:p>
    <w:p w:rsidR="00000000" w:rsidDel="00000000" w:rsidP="00000000" w:rsidRDefault="00000000" w:rsidRPr="00000000" w14:paraId="00000005">
      <w:pPr>
        <w:widowControl w:val="0"/>
        <w:spacing w:after="160" w:line="360" w:lineRule="auto"/>
        <w:rPr>
          <w:rFonts w:ascii="Roboto" w:cs="Roboto" w:eastAsia="Roboto" w:hAnsi="Roboto"/>
          <w:color w:val="001b3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The essentials — what this study is and who owns it.</w:t>
      </w:r>
    </w:p>
    <w:tbl>
      <w:tblPr>
        <w:tblStyle w:val="Table1"/>
        <w:tblW w:w="9360.0" w:type="dxa"/>
        <w:jc w:val="left"/>
        <w:tblBorders>
          <w:top w:color="e5e5e5" w:space="0" w:sz="6" w:val="single"/>
          <w:left w:color="e5e5e5" w:space="0" w:sz="6" w:val="single"/>
          <w:bottom w:color="e5e5e5" w:space="0" w:sz="6" w:val="single"/>
          <w:right w:color="e5e5e5" w:space="0" w:sz="6" w:val="single"/>
          <w:insideH w:color="e5e5e5" w:space="0" w:sz="6" w:val="single"/>
          <w:insideV w:color="e5e5e5" w:space="0" w:sz="6" w:val="single"/>
        </w:tblBorders>
        <w:tblLayout w:type="fixed"/>
        <w:tblLook w:val="0600"/>
      </w:tblPr>
      <w:tblGrid>
        <w:gridCol w:w="2995.2"/>
        <w:gridCol w:w="6364.8"/>
        <w:tblGridChange w:id="0">
          <w:tblGrid>
            <w:gridCol w:w="2995.2"/>
            <w:gridCol w:w="6364.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Study name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study name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Owner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owner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Business goal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business goal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Timeline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timeline ]</w:t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pacing w:after="380" w:before="520" w:lin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widowControl w:val="0"/>
        <w:spacing w:after="380" w:before="520" w:line="240" w:lineRule="auto"/>
        <w:rPr>
          <w:rFonts w:ascii="Poppins" w:cs="Poppins" w:eastAsia="Poppins" w:hAnsi="Poppins"/>
          <w:b w:val="1"/>
          <w:bCs w:val="1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30"/>
          <w:szCs w:val="30"/>
          <w:rtl w:val="0"/>
        </w:rPr>
        <w:t xml:space="preserve">Research objective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widowControl w:val="0"/>
        <w:spacing w:before="0" w:line="240" w:lineRule="auto"/>
        <w:rPr>
          <w:rFonts w:ascii="Poppins" w:cs="Poppins" w:eastAsia="Poppins" w:hAnsi="Poppins"/>
          <w:b w:val="1"/>
          <w:bCs w:val="1"/>
          <w:color w:val="12426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Poppins" w:cs="Poppins" w:eastAsia="Poppins" w:hAnsi="Poppins"/>
          <w:b w:val="1"/>
          <w:bCs w:val="1"/>
          <w:color w:val="12426a"/>
          <w:sz w:val="24"/>
          <w:szCs w:val="24"/>
          <w:rtl w:val="0"/>
        </w:rPr>
        <w:t xml:space="preserve">What customer journey are we trying to understand?</w:t>
      </w:r>
    </w:p>
    <w:p w:rsidR="00000000" w:rsidDel="00000000" w:rsidP="00000000" w:rsidRDefault="00000000" w:rsidRPr="00000000" w14:paraId="00000011">
      <w:pPr>
        <w:widowControl w:val="0"/>
        <w:spacing w:after="40" w:line="360" w:lineRule="auto"/>
        <w:rPr>
          <w:rFonts w:ascii="Roboto" w:cs="Roboto" w:eastAsia="Roboto" w:hAnsi="Roboto"/>
          <w:i w:val="1"/>
          <w:iCs w:val="1"/>
          <w:color w:val="767676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rtl w:val="0"/>
        </w:rPr>
        <w:t xml:space="preserve">Examples: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5"/>
        </w:numPr>
        <w:spacing w:after="0" w:afterAutospacing="0" w:before="4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New user onboarding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5"/>
        </w:numPr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Trial to paid conversion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5"/>
        </w:numPr>
        <w:spacing w:after="4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Renewal experience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widowControl w:val="0"/>
        <w:spacing w:after="220" w:before="520" w:line="240" w:lineRule="auto"/>
        <w:rPr>
          <w:rFonts w:ascii="Poppins" w:cs="Poppins" w:eastAsia="Poppins" w:hAnsi="Poppins"/>
          <w:b w:val="1"/>
          <w:bCs w:val="1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30"/>
          <w:szCs w:val="30"/>
          <w:rtl w:val="0"/>
        </w:rPr>
        <w:t xml:space="preserve">Customer segments</w:t>
      </w:r>
    </w:p>
    <w:p w:rsidR="00000000" w:rsidDel="00000000" w:rsidP="00000000" w:rsidRDefault="00000000" w:rsidRPr="00000000" w14:paraId="00000016">
      <w:pPr>
        <w:widowControl w:val="0"/>
        <w:spacing w:after="160" w:line="360" w:lineRule="auto"/>
        <w:rPr>
          <w:rFonts w:ascii="Roboto" w:cs="Roboto" w:eastAsia="Roboto" w:hAnsi="Roboto"/>
          <w:color w:val="001b3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Who you’re studying — the personas and firmographics that define this journey.</w:t>
      </w:r>
    </w:p>
    <w:tbl>
      <w:tblPr>
        <w:tblStyle w:val="Table2"/>
        <w:tblW w:w="9360.0" w:type="dxa"/>
        <w:jc w:val="left"/>
        <w:tblBorders>
          <w:top w:color="e5e5e5" w:space="0" w:sz="6" w:val="single"/>
          <w:left w:color="e5e5e5" w:space="0" w:sz="6" w:val="single"/>
          <w:bottom w:color="e5e5e5" w:space="0" w:sz="6" w:val="single"/>
          <w:right w:color="e5e5e5" w:space="0" w:sz="6" w:val="single"/>
          <w:insideH w:color="e5e5e5" w:space="0" w:sz="6" w:val="single"/>
          <w:insideV w:color="e5e5e5" w:space="0" w:sz="6" w:val="single"/>
        </w:tblBorders>
        <w:tblLayout w:type="fixed"/>
        <w:tblLook w:val="0600"/>
      </w:tblPr>
      <w:tblGrid>
        <w:gridCol w:w="2995.2"/>
        <w:gridCol w:w="6364.8"/>
        <w:tblGridChange w:id="0">
          <w:tblGrid>
            <w:gridCol w:w="2995.2"/>
            <w:gridCol w:w="6364.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Primary Persona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primary persona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Secondary Persona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secondary persona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Customer Size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customer size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Industry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industry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Lifecycle Stage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lifecycle stage ]</w:t>
            </w:r>
          </w:p>
        </w:tc>
      </w:tr>
    </w:tbl>
    <w:p w:rsidR="00000000" w:rsidDel="00000000" w:rsidP="00000000" w:rsidRDefault="00000000" w:rsidRPr="00000000" w14:paraId="00000021">
      <w:pPr>
        <w:pStyle w:val="Heading2"/>
        <w:keepNext w:val="0"/>
        <w:keepLines w:val="0"/>
        <w:widowControl w:val="0"/>
        <w:spacing w:after="220" w:before="520" w:line="240" w:lineRule="auto"/>
        <w:rPr>
          <w:rFonts w:ascii="Poppins" w:cs="Poppins" w:eastAsia="Poppins" w:hAnsi="Poppins"/>
          <w:b w:val="1"/>
          <w:bCs w:val="1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30"/>
          <w:szCs w:val="30"/>
          <w:rtl w:val="0"/>
        </w:rPr>
        <w:t xml:space="preserve">Journey stages</w:t>
      </w:r>
    </w:p>
    <w:p w:rsidR="00000000" w:rsidDel="00000000" w:rsidP="00000000" w:rsidRDefault="00000000" w:rsidRPr="00000000" w14:paraId="00000022">
      <w:pPr>
        <w:widowControl w:val="0"/>
        <w:spacing w:after="80" w:line="360" w:lineRule="auto"/>
        <w:rPr>
          <w:rFonts w:ascii="Roboto" w:cs="Roboto" w:eastAsia="Roboto" w:hAnsi="Roboto"/>
          <w:color w:val="001b3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The end-to-end stages you’ll map, from first touch through renewal.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spacing w:after="0" w:afterAutospacing="0" w:before="4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Discovery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2"/>
        </w:numPr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Evaluation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"/>
        </w:numPr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Purchase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Onboarding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Adoption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Expansion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spacing w:after="4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Renewal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widowControl w:val="0"/>
        <w:spacing w:after="380" w:before="520" w:line="240" w:lineRule="auto"/>
        <w:rPr>
          <w:rFonts w:ascii="Poppins" w:cs="Poppins" w:eastAsia="Poppins" w:hAnsi="Poppins"/>
          <w:b w:val="1"/>
          <w:bCs w:val="1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30"/>
          <w:szCs w:val="30"/>
          <w:rtl w:val="0"/>
        </w:rPr>
        <w:t xml:space="preserve">Research questions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widowControl w:val="0"/>
        <w:spacing w:before="0" w:line="240" w:lineRule="auto"/>
        <w:rPr>
          <w:rFonts w:ascii="Poppins" w:cs="Poppins" w:eastAsia="Poppins" w:hAnsi="Poppins"/>
          <w:b w:val="1"/>
          <w:bCs w:val="1"/>
          <w:color w:val="12426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Poppins" w:cs="Poppins" w:eastAsia="Poppins" w:hAnsi="Poppins"/>
          <w:b w:val="1"/>
          <w:bCs w:val="1"/>
          <w:color w:val="12426a"/>
          <w:sz w:val="24"/>
          <w:szCs w:val="24"/>
          <w:rtl w:val="0"/>
        </w:rPr>
        <w:t xml:space="preserve">What do we need to learn at each stage?</w:t>
      </w:r>
    </w:p>
    <w:p w:rsidR="00000000" w:rsidDel="00000000" w:rsidP="00000000" w:rsidRDefault="00000000" w:rsidRPr="00000000" w14:paraId="0000002C">
      <w:pPr>
        <w:widowControl w:val="0"/>
        <w:spacing w:after="160" w:line="360" w:lineRule="auto"/>
        <w:rPr>
          <w:rFonts w:ascii="Roboto" w:cs="Roboto" w:eastAsia="Roboto" w:hAnsi="Roboto"/>
          <w:color w:val="001b31"/>
        </w:rPr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Note the key questions to answer for every stage of the journey.</w:t>
      </w:r>
    </w:p>
    <w:tbl>
      <w:tblPr>
        <w:tblStyle w:val="Table3"/>
        <w:tblW w:w="9360.0" w:type="dxa"/>
        <w:jc w:val="left"/>
        <w:tblBorders>
          <w:top w:color="e5e5e5" w:space="0" w:sz="6" w:val="single"/>
          <w:left w:color="e5e5e5" w:space="0" w:sz="6" w:val="single"/>
          <w:bottom w:color="e5e5e5" w:space="0" w:sz="6" w:val="single"/>
          <w:right w:color="e5e5e5" w:space="0" w:sz="6" w:val="single"/>
          <w:insideH w:color="e5e5e5" w:space="0" w:sz="6" w:val="single"/>
          <w:insideV w:color="e5e5e5" w:space="0" w:sz="6" w:val="single"/>
        </w:tblBorders>
        <w:tblLayout w:type="fixed"/>
        <w:tblLook w:val="0600"/>
      </w:tblPr>
      <w:tblGrid>
        <w:gridCol w:w="2995.2"/>
        <w:gridCol w:w="6364.8"/>
        <w:tblGridChange w:id="0">
          <w:tblGrid>
            <w:gridCol w:w="2995.2"/>
            <w:gridCol w:w="6364.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Discovery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Evaluation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Purchase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Onboarding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Adoption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Expansion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Renewal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3B">
      <w:pPr>
        <w:pStyle w:val="Heading2"/>
        <w:keepNext w:val="0"/>
        <w:keepLines w:val="0"/>
        <w:widowControl w:val="0"/>
        <w:spacing w:after="220" w:before="520" w:line="240" w:lineRule="auto"/>
        <w:rPr>
          <w:rFonts w:ascii="Poppins" w:cs="Poppins" w:eastAsia="Poppins" w:hAnsi="Poppins"/>
          <w:b w:val="1"/>
          <w:bCs w:val="1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30"/>
          <w:szCs w:val="30"/>
          <w:rtl w:val="0"/>
        </w:rPr>
        <w:t xml:space="preserve">Success metrics</w:t>
      </w:r>
    </w:p>
    <w:p w:rsidR="00000000" w:rsidDel="00000000" w:rsidP="00000000" w:rsidRDefault="00000000" w:rsidRPr="00000000" w14:paraId="0000003C">
      <w:pPr>
        <w:widowControl w:val="0"/>
        <w:spacing w:after="80" w:line="360" w:lineRule="auto"/>
        <w:rPr>
          <w:rFonts w:ascii="Roboto" w:cs="Roboto" w:eastAsia="Roboto" w:hAnsi="Roboto"/>
          <w:color w:val="001b3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How you’ll measure whether the journey is working.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3"/>
        </w:numPr>
        <w:spacing w:after="0" w:afterAutospacing="0" w:before="4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Time-to-value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3"/>
        </w:numPr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Activation rate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3"/>
        </w:numPr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Customer satisfaction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3"/>
        </w:numPr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Drop-off rate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3"/>
        </w:numPr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NPS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3"/>
        </w:numPr>
        <w:spacing w:after="4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Retention</w:t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widowControl w:val="0"/>
        <w:spacing w:after="220" w:before="520" w:line="240" w:lineRule="auto"/>
        <w:rPr>
          <w:rFonts w:ascii="Poppins" w:cs="Poppins" w:eastAsia="Poppins" w:hAnsi="Poppins"/>
          <w:b w:val="1"/>
          <w:bCs w:val="1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30"/>
          <w:szCs w:val="30"/>
          <w:rtl w:val="0"/>
        </w:rPr>
        <w:t xml:space="preserve">Recruitment plan</w:t>
      </w:r>
    </w:p>
    <w:p w:rsidR="00000000" w:rsidDel="00000000" w:rsidP="00000000" w:rsidRDefault="00000000" w:rsidRPr="00000000" w14:paraId="00000044">
      <w:pPr>
        <w:widowControl w:val="0"/>
        <w:spacing w:after="160" w:line="360" w:lineRule="auto"/>
        <w:rPr>
          <w:rFonts w:ascii="Roboto" w:cs="Roboto" w:eastAsia="Roboto" w:hAnsi="Roboto"/>
          <w:color w:val="001b3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Who you’ll talk to and how you’ll reach them.</w:t>
      </w:r>
    </w:p>
    <w:tbl>
      <w:tblPr>
        <w:tblStyle w:val="Table4"/>
        <w:tblW w:w="9360.0" w:type="dxa"/>
        <w:jc w:val="left"/>
        <w:tblBorders>
          <w:top w:color="e5e5e5" w:space="0" w:sz="6" w:val="single"/>
          <w:left w:color="e5e5e5" w:space="0" w:sz="6" w:val="single"/>
          <w:bottom w:color="e5e5e5" w:space="0" w:sz="6" w:val="single"/>
          <w:right w:color="e5e5e5" w:space="0" w:sz="6" w:val="single"/>
          <w:insideH w:color="e5e5e5" w:space="0" w:sz="6" w:val="single"/>
          <w:insideV w:color="e5e5e5" w:space="0" w:sz="6" w:val="single"/>
        </w:tblBorders>
        <w:tblLayout w:type="fixed"/>
        <w:tblLook w:val="0600"/>
      </w:tblPr>
      <w:tblGrid>
        <w:gridCol w:w="2995.2"/>
        <w:gridCol w:w="6364.8"/>
        <w:tblGridChange w:id="0">
          <w:tblGrid>
            <w:gridCol w:w="2995.2"/>
            <w:gridCol w:w="6364.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Target interviews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target interviews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Recruitment source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recruitment source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Compensation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compensation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Timeline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timeline ]</w:t>
            </w:r>
          </w:p>
        </w:tc>
      </w:tr>
    </w:tbl>
    <w:p w:rsidR="00000000" w:rsidDel="00000000" w:rsidP="00000000" w:rsidRDefault="00000000" w:rsidRPr="00000000" w14:paraId="0000004D">
      <w:pPr>
        <w:pStyle w:val="Heading2"/>
        <w:keepNext w:val="0"/>
        <w:keepLines w:val="0"/>
        <w:widowControl w:val="0"/>
        <w:spacing w:after="220" w:before="520" w:line="240" w:lineRule="auto"/>
        <w:rPr>
          <w:rFonts w:ascii="Poppins" w:cs="Poppins" w:eastAsia="Poppins" w:hAnsi="Poppins"/>
          <w:b w:val="1"/>
          <w:bCs w:val="1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30"/>
          <w:szCs w:val="30"/>
          <w:rtl w:val="0"/>
        </w:rPr>
        <w:t xml:space="preserve">Interview logistics</w:t>
      </w:r>
    </w:p>
    <w:p w:rsidR="00000000" w:rsidDel="00000000" w:rsidP="00000000" w:rsidRDefault="00000000" w:rsidRPr="00000000" w14:paraId="0000004E">
      <w:pPr>
        <w:widowControl w:val="0"/>
        <w:spacing w:after="160" w:line="360" w:lineRule="auto"/>
        <w:rPr>
          <w:rFonts w:ascii="Roboto" w:cs="Roboto" w:eastAsia="Roboto" w:hAnsi="Roboto"/>
          <w:color w:val="001b3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The operational details that keep sessions running smoothly.</w:t>
      </w:r>
    </w:p>
    <w:tbl>
      <w:tblPr>
        <w:tblStyle w:val="Table5"/>
        <w:tblW w:w="9360.0" w:type="dxa"/>
        <w:jc w:val="left"/>
        <w:tblBorders>
          <w:top w:color="e5e5e5" w:space="0" w:sz="6" w:val="single"/>
          <w:left w:color="e5e5e5" w:space="0" w:sz="6" w:val="single"/>
          <w:bottom w:color="e5e5e5" w:space="0" w:sz="6" w:val="single"/>
          <w:right w:color="e5e5e5" w:space="0" w:sz="6" w:val="single"/>
          <w:insideH w:color="e5e5e5" w:space="0" w:sz="6" w:val="single"/>
          <w:insideV w:color="e5e5e5" w:space="0" w:sz="6" w:val="single"/>
        </w:tblBorders>
        <w:tblLayout w:type="fixed"/>
        <w:tblLook w:val="0600"/>
      </w:tblPr>
      <w:tblGrid>
        <w:gridCol w:w="2995.2"/>
        <w:gridCol w:w="6364.8"/>
        <w:tblGridChange w:id="0">
          <w:tblGrid>
            <w:gridCol w:w="2995.2"/>
            <w:gridCol w:w="6364.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Moderator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moderator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Observer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observer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Recording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recording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Interview length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interview length ]</w:t>
            </w:r>
          </w:p>
        </w:tc>
      </w:tr>
    </w:tbl>
    <w:p w:rsidR="00000000" w:rsidDel="00000000" w:rsidP="00000000" w:rsidRDefault="00000000" w:rsidRPr="00000000" w14:paraId="00000057">
      <w:pPr>
        <w:pStyle w:val="Heading2"/>
        <w:keepNext w:val="0"/>
        <w:keepLines w:val="0"/>
        <w:widowControl w:val="0"/>
        <w:spacing w:after="220" w:before="520" w:line="240" w:lineRule="auto"/>
        <w:rPr>
          <w:rFonts w:ascii="Poppins" w:cs="Poppins" w:eastAsia="Poppins" w:hAnsi="Poppins"/>
          <w:b w:val="1"/>
          <w:bCs w:val="1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30"/>
          <w:szCs w:val="30"/>
          <w:rtl w:val="0"/>
        </w:rPr>
        <w:t xml:space="preserve">Risks</w:t>
      </w:r>
    </w:p>
    <w:p w:rsidR="00000000" w:rsidDel="00000000" w:rsidP="00000000" w:rsidRDefault="00000000" w:rsidRPr="00000000" w14:paraId="00000058">
      <w:pPr>
        <w:widowControl w:val="0"/>
        <w:spacing w:after="80" w:line="360" w:lineRule="auto"/>
        <w:rPr>
          <w:rFonts w:ascii="Roboto" w:cs="Roboto" w:eastAsia="Roboto" w:hAnsi="Roboto"/>
          <w:color w:val="001b3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Anticipate what could skew results — note how you’ll mitigate each.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"/>
        </w:numPr>
        <w:spacing w:after="0" w:afterAutospacing="0" w:before="4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Recruitment bias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Missing customer segments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Small sample size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1"/>
        </w:numPr>
        <w:spacing w:after="4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Leading questions</w:t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widowControl w:val="0"/>
        <w:spacing w:after="220" w:before="520" w:line="240" w:lineRule="auto"/>
        <w:rPr>
          <w:rFonts w:ascii="Poppins" w:cs="Poppins" w:eastAsia="Poppins" w:hAnsi="Poppins"/>
          <w:b w:val="1"/>
          <w:bCs w:val="1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30"/>
          <w:szCs w:val="30"/>
          <w:rtl w:val="0"/>
        </w:rPr>
        <w:t xml:space="preserve">Next steps</w:t>
      </w:r>
    </w:p>
    <w:p w:rsidR="00000000" w:rsidDel="00000000" w:rsidP="00000000" w:rsidRDefault="00000000" w:rsidRPr="00000000" w14:paraId="0000005E">
      <w:pPr>
        <w:widowControl w:val="0"/>
        <w:spacing w:after="80" w:line="360" w:lineRule="auto"/>
        <w:rPr>
          <w:rFonts w:ascii="Roboto" w:cs="Roboto" w:eastAsia="Roboto" w:hAnsi="Roboto"/>
          <w:color w:val="001b3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What happens after the interviews wrap.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4"/>
        </w:numPr>
        <w:spacing w:after="0" w:afterAutospacing="0" w:before="4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Synthesis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4"/>
        </w:numPr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Journey mapping workshop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4"/>
        </w:numPr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Recommendations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4"/>
        </w:numPr>
        <w:spacing w:after="4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Stakeholder readout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after="80" w:line="360" w:lineRule="auto"/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color w:val="767676"/>
          <w:sz w:val="18"/>
          <w:szCs w:val="18"/>
          <w:rtl w:val="0"/>
        </w:rPr>
        <w:t xml:space="preserve">Made with </w:t>
      </w:r>
      <w:r w:rsidDel="00000000" w:rsidR="00000000" w:rsidRPr="00000000">
        <w:rPr>
          <w:rFonts w:ascii="Arial Unicode MS" w:cs="Arial Unicode MS" w:eastAsia="Arial Unicode MS" w:hAnsi="Arial Unicode MS"/>
          <w:color w:val="e2553d"/>
          <w:sz w:val="18"/>
          <w:szCs w:val="18"/>
          <w:rtl w:val="0"/>
        </w:rPr>
        <w:t xml:space="preserve">❤</w:t>
      </w:r>
      <w:r w:rsidDel="00000000" w:rsidR="00000000" w:rsidRPr="00000000">
        <w:rPr>
          <w:rFonts w:ascii="Roboto" w:cs="Roboto" w:eastAsia="Roboto" w:hAnsi="Roboto"/>
          <w:color w:val="767676"/>
          <w:sz w:val="18"/>
          <w:szCs w:val="18"/>
          <w:rtl w:val="0"/>
        </w:rPr>
        <w:t xml:space="preserve"> by unitQ  ·  </w:t>
      </w:r>
      <w:hyperlink r:id="rId6">
        <w:r w:rsidDel="00000000" w:rsidR="00000000" w:rsidRPr="00000000">
          <w:rPr>
            <w:rFonts w:ascii="Roboto" w:cs="Roboto" w:eastAsia="Roboto" w:hAnsi="Roboto"/>
            <w:color w:val="1e98ff"/>
            <w:sz w:val="18"/>
            <w:szCs w:val="18"/>
            <w:rtl w:val="0"/>
          </w:rPr>
          <w:t xml:space="preserve">www.unitq.com</w:t>
        </w:r>
      </w:hyperlink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va Mono">
    <w:embedRegular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widowControl w:val="0"/>
      <w:spacing w:before="440" w:line="240" w:lineRule="auto"/>
      <w:jc w:val="cente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  <w:br w:type="textWrapping"/>
    </w:r>
    <w:r w:rsidDel="00000000" w:rsidR="00000000" w:rsidRPr="00000000">
      <w:rPr/>
      <w:drawing>
        <wp:inline distB="114300" distT="114300" distL="114300" distR="114300">
          <wp:extent cx="682704" cy="2238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2704" cy="2238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br w:type="textWrapping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unitq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9" Type="http://schemas.openxmlformats.org/officeDocument/2006/relationships/font" Target="fonts/NovaMono-regular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